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807B02" w:rsidRDefault="00807B02" w:rsidP="00B976C5">
      <w:pPr>
        <w:spacing w:after="0" w:line="360" w:lineRule="auto"/>
        <w:jc w:val="both"/>
        <w:rPr>
          <w:rFonts w:ascii="Palatino Linotype" w:hAnsi="Palatino Linotype"/>
          <w:b/>
          <w:sz w:val="24"/>
          <w:szCs w:val="24"/>
        </w:rPr>
      </w:pPr>
      <w:r w:rsidRPr="00B71BFC">
        <w:rPr>
          <w:rFonts w:ascii="Palatino Linotype" w:hAnsi="Palatino Linotype"/>
          <w:b/>
          <w:sz w:val="24"/>
          <w:szCs w:val="24"/>
        </w:rPr>
        <w:t xml:space="preserve">VOTO PARTICULAR </w:t>
      </w:r>
      <w:r w:rsidR="00C11623">
        <w:rPr>
          <w:rFonts w:ascii="Palatino Linotype" w:hAnsi="Palatino Linotype"/>
          <w:b/>
          <w:sz w:val="24"/>
          <w:szCs w:val="24"/>
        </w:rPr>
        <w:t>QUE FORMULA</w:t>
      </w:r>
      <w:r w:rsidRPr="00B71BFC">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Pr>
          <w:rFonts w:ascii="Palatino Linotype" w:hAnsi="Palatino Linotype"/>
          <w:b/>
          <w:sz w:val="24"/>
          <w:szCs w:val="24"/>
        </w:rPr>
        <w:t xml:space="preserve">ÉXICO Y </w:t>
      </w:r>
      <w:r w:rsidR="00320BAF">
        <w:rPr>
          <w:rFonts w:ascii="Palatino Linotype" w:hAnsi="Palatino Linotype"/>
          <w:b/>
          <w:sz w:val="24"/>
          <w:szCs w:val="24"/>
        </w:rPr>
        <w:t>MUNICIPIOS, EN LA PRIMERA</w:t>
      </w:r>
      <w:r w:rsidRPr="00B71BFC">
        <w:rPr>
          <w:rFonts w:ascii="Palatino Linotype" w:hAnsi="Palatino Linotype"/>
          <w:b/>
          <w:sz w:val="24"/>
          <w:szCs w:val="24"/>
        </w:rPr>
        <w:t xml:space="preserve"> SESIÓN </w:t>
      </w:r>
      <w:r w:rsidRPr="00563D0F">
        <w:rPr>
          <w:rFonts w:ascii="Palatino Linotype" w:hAnsi="Palatino Linotype"/>
          <w:b/>
          <w:sz w:val="24"/>
          <w:szCs w:val="24"/>
        </w:rPr>
        <w:t>DE</w:t>
      </w:r>
      <w:r>
        <w:rPr>
          <w:rFonts w:ascii="Palatino Linotype" w:hAnsi="Palatino Linotype"/>
          <w:b/>
          <w:sz w:val="24"/>
          <w:szCs w:val="24"/>
        </w:rPr>
        <w:t>L</w:t>
      </w:r>
      <w:r w:rsidRPr="00563D0F">
        <w:rPr>
          <w:rFonts w:ascii="Palatino Linotype" w:hAnsi="Palatino Linotype"/>
          <w:b/>
          <w:sz w:val="24"/>
          <w:szCs w:val="24"/>
        </w:rPr>
        <w:t xml:space="preserve"> </w:t>
      </w:r>
      <w:r w:rsidR="00320BAF">
        <w:rPr>
          <w:rFonts w:ascii="Palatino Linotype" w:hAnsi="Palatino Linotype"/>
          <w:b/>
          <w:sz w:val="24"/>
          <w:szCs w:val="24"/>
        </w:rPr>
        <w:t>NUEVE DE ENERO DOS MIL DIECINUEVE</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sidR="00320BAF" w:rsidRPr="00320BAF">
        <w:rPr>
          <w:rFonts w:ascii="Palatino Linotype" w:hAnsi="Palatino Linotype"/>
          <w:b/>
          <w:sz w:val="24"/>
          <w:szCs w:val="24"/>
        </w:rPr>
        <w:t>04070/INFOEM/IP/RR/2018</w:t>
      </w:r>
      <w:r>
        <w:rPr>
          <w:rFonts w:ascii="Palatino Linotype" w:hAnsi="Palatino Linotype"/>
          <w:b/>
          <w:sz w:val="24"/>
          <w:szCs w:val="24"/>
        </w:rPr>
        <w:t>.</w:t>
      </w:r>
    </w:p>
    <w:p w:rsidR="00B976C5" w:rsidRDefault="00B976C5" w:rsidP="00574532">
      <w:pPr>
        <w:spacing w:after="0" w:line="360" w:lineRule="auto"/>
        <w:jc w:val="both"/>
        <w:rPr>
          <w:rFonts w:ascii="Palatino Linotype" w:hAnsi="Palatino Linotype"/>
          <w:sz w:val="24"/>
          <w:szCs w:val="24"/>
        </w:rPr>
      </w:pPr>
    </w:p>
    <w:p w:rsidR="00232C29" w:rsidRPr="00B976C5" w:rsidRDefault="000607BA" w:rsidP="00B976C5">
      <w:pPr>
        <w:spacing w:after="0" w:line="360" w:lineRule="auto"/>
        <w:jc w:val="both"/>
        <w:rPr>
          <w:rFonts w:ascii="Palatino Linotype" w:hAnsi="Palatino Linotype"/>
          <w:sz w:val="24"/>
          <w:szCs w:val="24"/>
        </w:rPr>
      </w:pPr>
      <w:r w:rsidRPr="00807B02">
        <w:rPr>
          <w:rFonts w:ascii="Palatino Linotype" w:hAnsi="Palatino Linotype"/>
          <w:sz w:val="24"/>
          <w:szCs w:val="24"/>
        </w:rPr>
        <w:t xml:space="preserve">Con fundamento en lo dispuesto por el </w:t>
      </w:r>
      <w:r w:rsidR="00347C52" w:rsidRPr="00807B02">
        <w:rPr>
          <w:rFonts w:ascii="Palatino Linotype" w:hAnsi="Palatino Linotype"/>
          <w:sz w:val="24"/>
          <w:szCs w:val="24"/>
        </w:rPr>
        <w:t>artículo 14, fracciones X y XI, del Reglamento del Instituto de Transparencia, Acceso a la Información Pública y Protección de Datos Personales del Estado de México</w:t>
      </w:r>
      <w:r w:rsidRPr="00807B02">
        <w:rPr>
          <w:rFonts w:ascii="Palatino Linotype" w:hAnsi="Palatino Linotype"/>
          <w:sz w:val="24"/>
          <w:szCs w:val="24"/>
        </w:rPr>
        <w:t xml:space="preserve">, </w:t>
      </w:r>
      <w:r w:rsidR="00C11623">
        <w:rPr>
          <w:rFonts w:ascii="Palatino Linotype" w:hAnsi="Palatino Linotype"/>
          <w:sz w:val="24"/>
          <w:szCs w:val="24"/>
        </w:rPr>
        <w:t>el Comisionado</w:t>
      </w:r>
      <w:r w:rsidR="00807B02" w:rsidRPr="00807B02">
        <w:rPr>
          <w:rFonts w:ascii="Palatino Linotype" w:hAnsi="Palatino Linotype"/>
          <w:sz w:val="24"/>
          <w:szCs w:val="24"/>
        </w:rPr>
        <w:t xml:space="preserve"> Javier Martíne</w:t>
      </w:r>
      <w:r w:rsidR="00C11623">
        <w:rPr>
          <w:rFonts w:ascii="Palatino Linotype" w:hAnsi="Palatino Linotype"/>
          <w:sz w:val="24"/>
          <w:szCs w:val="24"/>
        </w:rPr>
        <w:t xml:space="preserve">z Cruz emite VOTO PARTICULAR </w:t>
      </w:r>
      <w:r w:rsidR="00807B02" w:rsidRPr="00807B02">
        <w:rPr>
          <w:rFonts w:ascii="Palatino Linotype" w:hAnsi="Palatino Linotype"/>
          <w:sz w:val="24"/>
          <w:szCs w:val="24"/>
        </w:rPr>
        <w:t xml:space="preserve">respecto a la resolución dictada en el recurso de revisión número </w:t>
      </w:r>
      <w:r w:rsidR="0011440C" w:rsidRPr="0011440C">
        <w:rPr>
          <w:rFonts w:ascii="Palatino Linotype" w:hAnsi="Palatino Linotype"/>
          <w:sz w:val="24"/>
          <w:szCs w:val="24"/>
        </w:rPr>
        <w:t>04070/INFOEM/IP/RR/2018</w:t>
      </w:r>
      <w:r w:rsidR="00807B02" w:rsidRPr="00807B02">
        <w:rPr>
          <w:rFonts w:ascii="Palatino Linotype" w:hAnsi="Palatino Linotype"/>
          <w:sz w:val="24"/>
          <w:szCs w:val="24"/>
        </w:rPr>
        <w:t>, pronunciada por el Pleno de este Instituto an</w:t>
      </w:r>
      <w:r w:rsidR="00C11623">
        <w:rPr>
          <w:rFonts w:ascii="Palatino Linotype" w:hAnsi="Palatino Linotype"/>
          <w:sz w:val="24"/>
          <w:szCs w:val="24"/>
        </w:rPr>
        <w:t xml:space="preserve">te el proyecto presentado por la </w:t>
      </w:r>
      <w:r w:rsidR="00807B02" w:rsidRPr="00807B02">
        <w:rPr>
          <w:rFonts w:ascii="Palatino Linotype" w:hAnsi="Palatino Linotype"/>
          <w:sz w:val="24"/>
          <w:szCs w:val="24"/>
        </w:rPr>
        <w:t xml:space="preserve"> Comisionad</w:t>
      </w:r>
      <w:r w:rsidR="00C11623">
        <w:rPr>
          <w:rFonts w:ascii="Palatino Linotype" w:hAnsi="Palatino Linotype"/>
          <w:sz w:val="24"/>
          <w:szCs w:val="24"/>
        </w:rPr>
        <w:t>a</w:t>
      </w:r>
      <w:r w:rsidR="00807B02" w:rsidRPr="00807B02">
        <w:rPr>
          <w:rFonts w:ascii="Palatino Linotype" w:hAnsi="Palatino Linotype"/>
          <w:sz w:val="24"/>
          <w:szCs w:val="24"/>
        </w:rPr>
        <w:t xml:space="preserve"> </w:t>
      </w:r>
      <w:r w:rsidR="0011440C" w:rsidRPr="0011440C">
        <w:rPr>
          <w:rFonts w:ascii="Palatino Linotype" w:hAnsi="Palatino Linotype"/>
          <w:b/>
          <w:lang w:val="es-ES_tradnl"/>
        </w:rPr>
        <w:t>Zulema Martínez Sánchez</w:t>
      </w:r>
      <w:r w:rsidR="00807B02" w:rsidRPr="00807B02">
        <w:rPr>
          <w:rFonts w:ascii="Palatino Linotype" w:hAnsi="Palatino Linotype"/>
          <w:sz w:val="24"/>
          <w:szCs w:val="24"/>
        </w:rPr>
        <w:t xml:space="preserve">, que es del </w:t>
      </w:r>
      <w:r w:rsidR="00807B02" w:rsidRPr="00C11623">
        <w:rPr>
          <w:rFonts w:ascii="Palatino Linotype" w:hAnsi="Palatino Linotype"/>
          <w:sz w:val="24"/>
          <w:szCs w:val="24"/>
        </w:rPr>
        <w:t xml:space="preserve">tenor siguiente: </w:t>
      </w:r>
    </w:p>
    <w:p w:rsidR="00232C29" w:rsidRDefault="00232C29" w:rsidP="00C11623">
      <w:pPr>
        <w:spacing w:before="120" w:after="120" w:line="360" w:lineRule="auto"/>
        <w:jc w:val="both"/>
        <w:rPr>
          <w:rFonts w:ascii="Palatino Linotype" w:hAnsi="Palatino Linotype"/>
        </w:rPr>
      </w:pPr>
    </w:p>
    <w:p w:rsidR="00B976C5" w:rsidRPr="00C2534B" w:rsidRDefault="00B976C5" w:rsidP="00C11623">
      <w:pPr>
        <w:spacing w:before="120" w:after="120" w:line="360" w:lineRule="auto"/>
        <w:jc w:val="both"/>
        <w:rPr>
          <w:rFonts w:ascii="Palatino Linotype" w:hAnsi="Palatino Linotype"/>
          <w:sz w:val="24"/>
          <w:szCs w:val="24"/>
        </w:rPr>
      </w:pPr>
      <w:r w:rsidRPr="00C2534B">
        <w:rPr>
          <w:rFonts w:ascii="Palatino Linotype" w:hAnsi="Palatino Linotype"/>
          <w:sz w:val="24"/>
          <w:szCs w:val="24"/>
        </w:rPr>
        <w:t xml:space="preserve">De manera previa a la emisión del presente voto, cabe precisar  que la materia en que  radicaron los recursos de revisión, lo fue en que se proporcionaran la </w:t>
      </w:r>
      <w:r w:rsidR="007F0307" w:rsidRPr="00C2534B">
        <w:rPr>
          <w:rFonts w:ascii="Palatino Linotype" w:hAnsi="Palatino Linotype"/>
          <w:sz w:val="24"/>
          <w:szCs w:val="24"/>
        </w:rPr>
        <w:t>documentación</w:t>
      </w:r>
      <w:r w:rsidRPr="00C2534B">
        <w:rPr>
          <w:rFonts w:ascii="Palatino Linotype" w:hAnsi="Palatino Linotype"/>
          <w:sz w:val="24"/>
          <w:szCs w:val="24"/>
        </w:rPr>
        <w:t xml:space="preserve"> solicitada </w:t>
      </w:r>
      <w:r w:rsidR="005C2E7F" w:rsidRPr="00C2534B">
        <w:rPr>
          <w:rFonts w:ascii="Palatino Linotype" w:hAnsi="Palatino Linotype"/>
          <w:sz w:val="24"/>
          <w:szCs w:val="24"/>
        </w:rPr>
        <w:t>a través del SAIMEX</w:t>
      </w:r>
      <w:r w:rsidRPr="00C2534B">
        <w:rPr>
          <w:rFonts w:ascii="Palatino Linotype" w:hAnsi="Palatino Linotype"/>
          <w:sz w:val="24"/>
          <w:szCs w:val="24"/>
        </w:rPr>
        <w:t>:</w:t>
      </w:r>
    </w:p>
    <w:p w:rsidR="005C2E7F" w:rsidRPr="00C2534B" w:rsidRDefault="005C2E7F" w:rsidP="005C2E7F">
      <w:pPr>
        <w:ind w:left="851" w:right="850"/>
        <w:jc w:val="both"/>
        <w:rPr>
          <w:rFonts w:ascii="Palatino Linotype" w:eastAsia="Times New Roman" w:hAnsi="Palatino Linotype" w:cs="Times New Roman"/>
          <w:i/>
          <w:sz w:val="24"/>
          <w:szCs w:val="24"/>
          <w:lang w:val="es-ES_tradnl" w:eastAsia="es-ES"/>
        </w:rPr>
      </w:pPr>
      <w:r w:rsidRPr="00C2534B">
        <w:rPr>
          <w:rFonts w:ascii="Palatino Linotype" w:eastAsia="Times New Roman" w:hAnsi="Palatino Linotype" w:cs="Times New Roman"/>
          <w:i/>
          <w:sz w:val="24"/>
          <w:szCs w:val="24"/>
          <w:lang w:val="es-ES_tradnl" w:eastAsia="es-ES"/>
        </w:rPr>
        <w:t>“</w:t>
      </w:r>
      <w:r w:rsidRPr="00C2534B">
        <w:rPr>
          <w:rFonts w:ascii="Palatino Linotype" w:hAnsi="Palatino Linotype"/>
          <w:i/>
          <w:color w:val="000000"/>
          <w:sz w:val="24"/>
          <w:szCs w:val="24"/>
        </w:rPr>
        <w:t xml:space="preserve">Documento oficial de la entrega del fraccionamiento de vista del valle a las organizaciones sociales vecinales que efectuó el fraccionador entre los años </w:t>
      </w:r>
      <w:r w:rsidRPr="00C2534B">
        <w:rPr>
          <w:rFonts w:ascii="Palatino Linotype" w:hAnsi="Palatino Linotype"/>
          <w:i/>
          <w:color w:val="000000"/>
          <w:sz w:val="24"/>
          <w:szCs w:val="24"/>
        </w:rPr>
        <w:lastRenderedPageBreak/>
        <w:t>1970 y 1974 y dejo constancia en el ayuntamiento de Naucalpan y/o Gobierno del Estado de México.</w:t>
      </w:r>
      <w:r w:rsidRPr="00C2534B">
        <w:rPr>
          <w:rFonts w:ascii="Palatino Linotype" w:eastAsia="Times New Roman" w:hAnsi="Palatino Linotype" w:cs="Times New Roman"/>
          <w:i/>
          <w:sz w:val="24"/>
          <w:szCs w:val="24"/>
          <w:lang w:val="es-ES_tradnl" w:eastAsia="es-ES"/>
        </w:rPr>
        <w:t>” [Sic]</w:t>
      </w:r>
    </w:p>
    <w:p w:rsidR="00B976C5" w:rsidRPr="00C2534B" w:rsidRDefault="00E476F0" w:rsidP="00C11623">
      <w:pPr>
        <w:spacing w:before="120" w:after="120" w:line="360" w:lineRule="auto"/>
        <w:jc w:val="both"/>
        <w:rPr>
          <w:rFonts w:ascii="Palatino Linotype" w:hAnsi="Palatino Linotype"/>
          <w:sz w:val="24"/>
          <w:szCs w:val="24"/>
          <w:highlight w:val="yellow"/>
        </w:rPr>
      </w:pPr>
      <w:r w:rsidRPr="00C2534B">
        <w:rPr>
          <w:rFonts w:ascii="Palatino Linotype" w:hAnsi="Palatino Linotype"/>
          <w:sz w:val="24"/>
          <w:szCs w:val="24"/>
        </w:rPr>
        <w:t xml:space="preserve">Como </w:t>
      </w:r>
      <w:r w:rsidR="00935ABC" w:rsidRPr="00C2534B">
        <w:rPr>
          <w:rFonts w:ascii="Palatino Linotype" w:hAnsi="Palatino Linotype"/>
          <w:sz w:val="24"/>
          <w:szCs w:val="24"/>
        </w:rPr>
        <w:t xml:space="preserve">quedó precisado en los antecedentes que integran la resolución de mérito, </w:t>
      </w:r>
      <w:r w:rsidR="006F1710" w:rsidRPr="00C2534B">
        <w:rPr>
          <w:rFonts w:ascii="Palatino Linotype" w:hAnsi="Palatino Linotype"/>
          <w:sz w:val="24"/>
          <w:szCs w:val="24"/>
        </w:rPr>
        <w:t>así</w:t>
      </w:r>
      <w:r w:rsidR="00935ABC" w:rsidRPr="00C2534B">
        <w:rPr>
          <w:rFonts w:ascii="Palatino Linotype" w:hAnsi="Palatino Linotype"/>
          <w:sz w:val="24"/>
          <w:szCs w:val="24"/>
        </w:rPr>
        <w:t xml:space="preserve"> como las </w:t>
      </w:r>
      <w:r w:rsidR="006F1710" w:rsidRPr="00C2534B">
        <w:rPr>
          <w:rFonts w:ascii="Palatino Linotype" w:hAnsi="Palatino Linotype"/>
          <w:sz w:val="24"/>
          <w:szCs w:val="24"/>
        </w:rPr>
        <w:t>constancias</w:t>
      </w:r>
      <w:r w:rsidR="00935ABC" w:rsidRPr="00C2534B">
        <w:rPr>
          <w:rFonts w:ascii="Palatino Linotype" w:hAnsi="Palatino Linotype"/>
          <w:sz w:val="24"/>
          <w:szCs w:val="24"/>
        </w:rPr>
        <w:t xml:space="preserve"> que integran el expediente electrónico </w:t>
      </w:r>
      <w:r w:rsidR="006F1710" w:rsidRPr="00C2534B">
        <w:rPr>
          <w:rFonts w:ascii="Palatino Linotype" w:hAnsi="Palatino Linotype"/>
          <w:sz w:val="24"/>
          <w:szCs w:val="24"/>
        </w:rPr>
        <w:t>formado</w:t>
      </w:r>
      <w:r w:rsidR="00935ABC" w:rsidRPr="00C2534B">
        <w:rPr>
          <w:rFonts w:ascii="Palatino Linotype" w:hAnsi="Palatino Linotype"/>
          <w:sz w:val="24"/>
          <w:szCs w:val="24"/>
        </w:rPr>
        <w:t xml:space="preserve"> con </w:t>
      </w:r>
      <w:r w:rsidR="006F1710" w:rsidRPr="00C2534B">
        <w:rPr>
          <w:rFonts w:ascii="Palatino Linotype" w:hAnsi="Palatino Linotype"/>
          <w:sz w:val="24"/>
          <w:szCs w:val="24"/>
        </w:rPr>
        <w:t>motivo</w:t>
      </w:r>
      <w:r w:rsidR="00935ABC" w:rsidRPr="00C2534B">
        <w:rPr>
          <w:rFonts w:ascii="Palatino Linotype" w:hAnsi="Palatino Linotype"/>
          <w:sz w:val="24"/>
          <w:szCs w:val="24"/>
        </w:rPr>
        <w:t xml:space="preserve"> en el </w:t>
      </w:r>
      <w:r w:rsidR="006F1710" w:rsidRPr="00C2534B">
        <w:rPr>
          <w:rFonts w:ascii="Palatino Linotype" w:hAnsi="Palatino Linotype"/>
          <w:sz w:val="24"/>
          <w:szCs w:val="24"/>
        </w:rPr>
        <w:t>Sistema de Acceso a la Información</w:t>
      </w:r>
      <w:r w:rsidR="00935ABC" w:rsidRPr="00C2534B">
        <w:rPr>
          <w:rFonts w:ascii="Palatino Linotype" w:hAnsi="Palatino Linotype"/>
          <w:sz w:val="24"/>
          <w:szCs w:val="24"/>
        </w:rPr>
        <w:t xml:space="preserve"> </w:t>
      </w:r>
      <w:r w:rsidR="006F1710" w:rsidRPr="00C2534B">
        <w:rPr>
          <w:rFonts w:ascii="Palatino Linotype" w:hAnsi="Palatino Linotype"/>
          <w:sz w:val="24"/>
          <w:szCs w:val="24"/>
        </w:rPr>
        <w:t xml:space="preserve">Mexiquense, el </w:t>
      </w:r>
      <w:r w:rsidR="009338B8" w:rsidRPr="00C2534B">
        <w:rPr>
          <w:rFonts w:ascii="Palatino Linotype" w:hAnsi="Palatino Linotype"/>
          <w:sz w:val="24"/>
          <w:szCs w:val="24"/>
        </w:rPr>
        <w:t>SUJE</w:t>
      </w:r>
      <w:r w:rsidR="006F1710" w:rsidRPr="00C2534B">
        <w:rPr>
          <w:rFonts w:ascii="Palatino Linotype" w:hAnsi="Palatino Linotype"/>
          <w:sz w:val="24"/>
          <w:szCs w:val="24"/>
        </w:rPr>
        <w:t>T</w:t>
      </w:r>
      <w:r w:rsidR="009338B8" w:rsidRPr="00C2534B">
        <w:rPr>
          <w:rFonts w:ascii="Palatino Linotype" w:hAnsi="Palatino Linotype"/>
          <w:sz w:val="24"/>
          <w:szCs w:val="24"/>
        </w:rPr>
        <w:t>O</w:t>
      </w:r>
      <w:r w:rsidR="006F1710" w:rsidRPr="00C2534B">
        <w:rPr>
          <w:rFonts w:ascii="Palatino Linotype" w:hAnsi="Palatino Linotype"/>
          <w:sz w:val="24"/>
          <w:szCs w:val="24"/>
        </w:rPr>
        <w:t xml:space="preserve"> OBLIGADO remite como respuesta </w:t>
      </w:r>
      <w:r w:rsidR="00C2534B" w:rsidRPr="00C2534B">
        <w:rPr>
          <w:rFonts w:ascii="Palatino Linotype" w:hAnsi="Palatino Linotype"/>
          <w:sz w:val="24"/>
          <w:szCs w:val="24"/>
        </w:rPr>
        <w:t>un</w:t>
      </w:r>
      <w:r w:rsidR="006F1710" w:rsidRPr="00C2534B">
        <w:rPr>
          <w:rFonts w:ascii="Palatino Linotype" w:hAnsi="Palatino Linotype"/>
          <w:sz w:val="24"/>
          <w:szCs w:val="24"/>
        </w:rPr>
        <w:t xml:space="preserve"> escrito a través del cual manifiesta una prórroga para dar atención a </w:t>
      </w:r>
      <w:r w:rsidR="009338B8" w:rsidRPr="00C2534B">
        <w:rPr>
          <w:rFonts w:ascii="Palatino Linotype" w:hAnsi="Palatino Linotype"/>
          <w:sz w:val="24"/>
          <w:szCs w:val="24"/>
        </w:rPr>
        <w:t>la solicitud</w:t>
      </w:r>
      <w:r w:rsidR="006F1710" w:rsidRPr="00C2534B">
        <w:rPr>
          <w:rFonts w:ascii="Palatino Linotype" w:hAnsi="Palatino Linotype"/>
          <w:sz w:val="24"/>
          <w:szCs w:val="24"/>
        </w:rPr>
        <w:t xml:space="preserve"> de mérito. </w:t>
      </w:r>
    </w:p>
    <w:p w:rsidR="00B976C5" w:rsidRPr="00C2534B" w:rsidRDefault="00B976C5" w:rsidP="00C11623">
      <w:pPr>
        <w:spacing w:before="120" w:after="120" w:line="360" w:lineRule="auto"/>
        <w:jc w:val="both"/>
        <w:rPr>
          <w:rFonts w:ascii="Palatino Linotype" w:hAnsi="Palatino Linotype"/>
          <w:sz w:val="24"/>
          <w:szCs w:val="24"/>
          <w:highlight w:val="yellow"/>
        </w:rPr>
      </w:pPr>
      <w:r w:rsidRPr="00C2534B">
        <w:rPr>
          <w:rFonts w:ascii="Palatino Linotype" w:hAnsi="Palatino Linotype"/>
          <w:sz w:val="24"/>
          <w:szCs w:val="24"/>
        </w:rPr>
        <w:t>Una vez precisado lo anterior es de mencionarse que con motivo de las respuestas del Sujeto Obligado a los requerimientos señalados anteriorme</w:t>
      </w:r>
      <w:r w:rsidR="005C2E7F" w:rsidRPr="00C2534B">
        <w:rPr>
          <w:rFonts w:ascii="Palatino Linotype" w:hAnsi="Palatino Linotype"/>
          <w:sz w:val="24"/>
          <w:szCs w:val="24"/>
        </w:rPr>
        <w:t>nte, el recurrente interpuso el recurso de revisión, mismo</w:t>
      </w:r>
      <w:r w:rsidR="00356493" w:rsidRPr="00C2534B">
        <w:rPr>
          <w:rFonts w:ascii="Palatino Linotype" w:hAnsi="Palatino Linotype"/>
          <w:sz w:val="24"/>
          <w:szCs w:val="24"/>
        </w:rPr>
        <w:t xml:space="preserve"> que una vez que fuera sustanciado</w:t>
      </w:r>
      <w:r w:rsidRPr="00C2534B">
        <w:rPr>
          <w:rFonts w:ascii="Palatino Linotype" w:hAnsi="Palatino Linotype"/>
          <w:sz w:val="24"/>
          <w:szCs w:val="24"/>
        </w:rPr>
        <w:t xml:space="preserve"> en los resolutivos primero y segundo, se determinó lo siguiente:</w:t>
      </w:r>
    </w:p>
    <w:p w:rsidR="005C2E7F" w:rsidRPr="005C2E7F" w:rsidRDefault="005C2E7F" w:rsidP="005C2E7F">
      <w:pPr>
        <w:spacing w:before="120" w:after="120" w:line="360" w:lineRule="auto"/>
        <w:jc w:val="both"/>
        <w:rPr>
          <w:rFonts w:ascii="Palatino Linotype" w:hAnsi="Palatino Linotype"/>
          <w:color w:val="000000"/>
        </w:rPr>
      </w:pPr>
      <w:r w:rsidRPr="00C2534B">
        <w:rPr>
          <w:rFonts w:ascii="Palatino Linotype" w:hAnsi="Palatino Linotype"/>
          <w:sz w:val="24"/>
          <w:szCs w:val="24"/>
          <w:lang w:val="es-ES_tradnl"/>
        </w:rPr>
        <w:t xml:space="preserve"> Como </w:t>
      </w:r>
      <w:r w:rsidRPr="00C2534B">
        <w:rPr>
          <w:rFonts w:ascii="Palatino Linotype" w:hAnsi="Palatino Linotype" w:cs="Arial"/>
          <w:b/>
          <w:sz w:val="24"/>
          <w:szCs w:val="24"/>
        </w:rPr>
        <w:t xml:space="preserve">Acto Impugnado, </w:t>
      </w:r>
      <w:r w:rsidRPr="00C2534B">
        <w:rPr>
          <w:rFonts w:ascii="Palatino Linotype" w:hAnsi="Palatino Linotype"/>
          <w:i/>
          <w:color w:val="000000"/>
          <w:sz w:val="24"/>
          <w:szCs w:val="24"/>
        </w:rPr>
        <w:t>SOLICITUD SOBRE: Documento oficial de la entrega del fraccionamiento de vista del valle a las organizaciones sociales vecinales que efectuó el fraccionador entre los años 1970 y 1974 y dejo constancia en el ayuntamiento de Naucalpan y/o Gobierno del Estado de México."</w:t>
      </w:r>
      <w:r w:rsidRPr="00C2534B">
        <w:rPr>
          <w:rFonts w:ascii="Palatino Linotype" w:hAnsi="Palatino Linotype"/>
          <w:color w:val="000000"/>
          <w:sz w:val="24"/>
          <w:szCs w:val="24"/>
        </w:rPr>
        <w:t xml:space="preserve"> y como </w:t>
      </w:r>
      <w:r w:rsidRPr="00C2534B">
        <w:rPr>
          <w:rFonts w:ascii="Palatino Linotype" w:hAnsi="Palatino Linotype"/>
          <w:b/>
          <w:color w:val="000000"/>
          <w:sz w:val="24"/>
          <w:szCs w:val="24"/>
        </w:rPr>
        <w:t>motivo de agravio</w:t>
      </w:r>
      <w:r w:rsidRPr="00C2534B">
        <w:rPr>
          <w:rFonts w:ascii="Palatino Linotype" w:hAnsi="Palatino Linotype"/>
          <w:color w:val="000000"/>
          <w:sz w:val="24"/>
          <w:szCs w:val="24"/>
        </w:rPr>
        <w:t xml:space="preserve">: </w:t>
      </w:r>
      <w:r w:rsidRPr="00C2534B">
        <w:rPr>
          <w:rFonts w:ascii="Palatino Linotype" w:hAnsi="Palatino Linotype" w:cs="Arial"/>
          <w:i/>
          <w:sz w:val="24"/>
          <w:szCs w:val="24"/>
        </w:rPr>
        <w:t>“LA SOLICITUD DE LA PETICIÓN SE INGRESO EL 30/008/</w:t>
      </w:r>
      <w:proofErr w:type="gramStart"/>
      <w:r w:rsidRPr="00C2534B">
        <w:rPr>
          <w:rFonts w:ascii="Palatino Linotype" w:hAnsi="Palatino Linotype" w:cs="Arial"/>
          <w:i/>
          <w:sz w:val="24"/>
          <w:szCs w:val="24"/>
        </w:rPr>
        <w:t>2018 ,</w:t>
      </w:r>
      <w:proofErr w:type="gramEnd"/>
      <w:r w:rsidRPr="00C2534B">
        <w:rPr>
          <w:rFonts w:ascii="Palatino Linotype" w:hAnsi="Palatino Linotype" w:cs="Arial"/>
          <w:i/>
          <w:sz w:val="24"/>
          <w:szCs w:val="24"/>
        </w:rPr>
        <w:t xml:space="preserve"> SE SOLICITO</w:t>
      </w:r>
      <w:r w:rsidRPr="00942DE4">
        <w:rPr>
          <w:rFonts w:ascii="Palatino Linotype" w:hAnsi="Palatino Linotype" w:cs="Arial"/>
          <w:i/>
        </w:rPr>
        <w:t xml:space="preserve"> PRORROGA DE SIETE DÍAS, VENCIDOS Y AÚN NO SE OBTIENE RESPUESTA.</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9338B8" w:rsidRPr="00C2534B" w:rsidRDefault="009338B8" w:rsidP="009338B8">
      <w:pPr>
        <w:spacing w:before="240" w:after="240" w:line="360" w:lineRule="auto"/>
        <w:jc w:val="both"/>
        <w:rPr>
          <w:rFonts w:ascii="Palatino Linotype" w:hAnsi="Palatino Linotype"/>
          <w:sz w:val="24"/>
          <w:szCs w:val="24"/>
        </w:rPr>
      </w:pPr>
      <w:r w:rsidRPr="00C2534B">
        <w:rPr>
          <w:rFonts w:ascii="Palatino Linotype" w:hAnsi="Palatino Linotype"/>
          <w:sz w:val="24"/>
          <w:szCs w:val="24"/>
        </w:rPr>
        <w:t>Aunado a lo anterior el Sujeto Obligado fue omiso en presentar su informe justificado, ofrecer pruebas, o presentar alegato alguno; esto es, fue totalmente omiso en emitir pronunciamiento respecto de las solicitudes de información que le fueron formuladas.</w:t>
      </w:r>
    </w:p>
    <w:p w:rsidR="005C2E7F" w:rsidRPr="00C2534B" w:rsidRDefault="005C2E7F" w:rsidP="005C2E7F">
      <w:pPr>
        <w:spacing w:before="120" w:after="120" w:line="360" w:lineRule="auto"/>
        <w:jc w:val="both"/>
        <w:rPr>
          <w:rFonts w:ascii="Palatino Linotype" w:hAnsi="Palatino Linotype"/>
          <w:sz w:val="24"/>
          <w:szCs w:val="24"/>
          <w:lang w:val="es-ES_tradnl"/>
        </w:rPr>
      </w:pPr>
    </w:p>
    <w:p w:rsidR="009338B8" w:rsidRPr="00C2534B" w:rsidRDefault="00C2534B" w:rsidP="009338B8">
      <w:pPr>
        <w:spacing w:before="240" w:line="360" w:lineRule="auto"/>
        <w:jc w:val="both"/>
        <w:rPr>
          <w:rFonts w:ascii="Palatino Linotype" w:hAnsi="Palatino Linotype" w:cs="Arial"/>
          <w:sz w:val="24"/>
          <w:szCs w:val="24"/>
          <w:lang w:eastAsia="es-MX"/>
        </w:rPr>
      </w:pPr>
      <w:r w:rsidRPr="00C2534B">
        <w:rPr>
          <w:rFonts w:ascii="Palatino Linotype" w:hAnsi="Palatino Linotype"/>
          <w:sz w:val="24"/>
          <w:szCs w:val="24"/>
        </w:rPr>
        <w:t>Así las cosas la Comisionada</w:t>
      </w:r>
      <w:r w:rsidR="009338B8" w:rsidRPr="00C2534B">
        <w:rPr>
          <w:rFonts w:ascii="Palatino Linotype" w:hAnsi="Palatino Linotype"/>
          <w:sz w:val="24"/>
          <w:szCs w:val="24"/>
        </w:rPr>
        <w:t xml:space="preserve"> ponente, en la resolución presentada ante el Pleno de este Instituto, se limitó a referir –en resumen- que la omisión de dar respuesta por parte del Sujeto Obligado constituye una vulneración al derecho de acceso a la información pública, el cual está constreñido a promover, respetar, proteger y más aún a garantizar de conformidad con</w:t>
      </w:r>
      <w:r w:rsidR="009338B8" w:rsidRPr="00C2534B">
        <w:rPr>
          <w:rFonts w:ascii="Palatino Linotype" w:hAnsi="Palatino Linotype"/>
        </w:rPr>
        <w:t xml:space="preserve"> </w:t>
      </w:r>
      <w:r w:rsidR="009338B8" w:rsidRPr="00C2534B">
        <w:rPr>
          <w:rFonts w:ascii="Palatino Linotype" w:hAnsi="Palatino Linotype"/>
          <w:sz w:val="24"/>
          <w:szCs w:val="24"/>
        </w:rPr>
        <w:t>la propia Constitución Política del Estados Unidos Mexicanos, empero, también argumentó que para dar cumplimiento a la resolución el Sujeto Obligado debía atender la solicitud de información sin que fuera necesario para este Órgano Garante analizar o prejuzgar si la información que le fue solicitada obra en los archivos del Sujeto Obligado, dejándole el deber a éste de sustanciar todo el procedimiento de acceso a la información pública verificando si la información que se le requirió corresponde al ejercicio de sus facult</w:t>
      </w:r>
      <w:r w:rsidR="009338B8" w:rsidRPr="00C2534B">
        <w:rPr>
          <w:rFonts w:ascii="Palatino Linotype" w:hAnsi="Palatino Linotype"/>
          <w:sz w:val="24"/>
          <w:szCs w:val="24"/>
        </w:rPr>
        <w:t>ades, competencias o funciones: “</w:t>
      </w:r>
      <w:r w:rsidR="009338B8" w:rsidRPr="00C2534B">
        <w:rPr>
          <w:rFonts w:ascii="Palatino Linotype" w:hAnsi="Palatino Linotype" w:cs="Arial"/>
          <w:b/>
          <w:i/>
          <w:sz w:val="24"/>
          <w:szCs w:val="24"/>
          <w:lang w:val="es-ES_tradnl"/>
        </w:rPr>
        <w:t xml:space="preserve">SEGUNDO. </w:t>
      </w:r>
      <w:r w:rsidR="009338B8" w:rsidRPr="00C2534B">
        <w:rPr>
          <w:rFonts w:ascii="Palatino Linotype" w:hAnsi="Palatino Linotype" w:cs="Arial"/>
          <w:i/>
          <w:sz w:val="24"/>
          <w:szCs w:val="24"/>
        </w:rPr>
        <w:t xml:space="preserve">Se </w:t>
      </w:r>
      <w:r w:rsidR="009338B8" w:rsidRPr="00C2534B">
        <w:rPr>
          <w:rFonts w:ascii="Palatino Linotype" w:hAnsi="Palatino Linotype" w:cs="Arial"/>
          <w:b/>
          <w:i/>
          <w:sz w:val="24"/>
          <w:szCs w:val="24"/>
        </w:rPr>
        <w:t>ORDENA</w:t>
      </w:r>
      <w:r w:rsidR="009338B8" w:rsidRPr="00C2534B">
        <w:rPr>
          <w:rFonts w:ascii="Palatino Linotype" w:hAnsi="Palatino Linotype" w:cs="Arial"/>
          <w:i/>
          <w:sz w:val="24"/>
          <w:szCs w:val="24"/>
        </w:rPr>
        <w:t xml:space="preserve"> al </w:t>
      </w:r>
      <w:r w:rsidR="009338B8" w:rsidRPr="00C2534B">
        <w:rPr>
          <w:rFonts w:ascii="Palatino Linotype" w:hAnsi="Palatino Linotype" w:cs="Arial"/>
          <w:b/>
          <w:i/>
          <w:sz w:val="24"/>
          <w:szCs w:val="24"/>
        </w:rPr>
        <w:t>sujeto obligado</w:t>
      </w:r>
      <w:r w:rsidR="009338B8" w:rsidRPr="00C2534B">
        <w:rPr>
          <w:rFonts w:ascii="Palatino Linotype" w:hAnsi="Palatino Linotype" w:cs="Arial"/>
          <w:i/>
          <w:sz w:val="24"/>
          <w:szCs w:val="24"/>
        </w:rPr>
        <w:t xml:space="preserve">, </w:t>
      </w:r>
      <w:r w:rsidR="009338B8" w:rsidRPr="00C2534B">
        <w:rPr>
          <w:rFonts w:ascii="Palatino Linotype" w:hAnsi="Palatino Linotype" w:cs="Arial"/>
          <w:b/>
          <w:i/>
          <w:sz w:val="24"/>
          <w:szCs w:val="24"/>
          <w:u w:val="single"/>
        </w:rPr>
        <w:t xml:space="preserve">atienda </w:t>
      </w:r>
      <w:r w:rsidR="009338B8" w:rsidRPr="00C2534B">
        <w:rPr>
          <w:rFonts w:ascii="Palatino Linotype" w:hAnsi="Palatino Linotype" w:cs="Arial"/>
          <w:i/>
          <w:sz w:val="24"/>
          <w:szCs w:val="24"/>
          <w:u w:val="single"/>
        </w:rPr>
        <w:t xml:space="preserve">la solicitud de información número </w:t>
      </w:r>
      <w:r w:rsidR="009338B8" w:rsidRPr="00C2534B">
        <w:rPr>
          <w:rFonts w:ascii="Palatino Linotype" w:hAnsi="Palatino Linotype" w:cs="Arial"/>
          <w:b/>
          <w:i/>
          <w:sz w:val="24"/>
          <w:szCs w:val="24"/>
          <w:u w:val="single"/>
        </w:rPr>
        <w:t xml:space="preserve">00497/NAUCALPA/IP/2018, </w:t>
      </w:r>
      <w:r w:rsidR="009338B8" w:rsidRPr="00C2534B">
        <w:rPr>
          <w:rFonts w:ascii="Palatino Linotype" w:hAnsi="Palatino Linotype" w:cs="Arial"/>
          <w:i/>
          <w:sz w:val="24"/>
          <w:szCs w:val="24"/>
        </w:rPr>
        <w:t xml:space="preserve">en términos del considerando </w:t>
      </w:r>
      <w:r w:rsidR="009338B8" w:rsidRPr="00C2534B">
        <w:rPr>
          <w:rFonts w:ascii="Palatino Linotype" w:hAnsi="Palatino Linotype" w:cs="Arial"/>
          <w:b/>
          <w:i/>
          <w:sz w:val="24"/>
          <w:szCs w:val="24"/>
        </w:rPr>
        <w:t>cuarto</w:t>
      </w:r>
      <w:r w:rsidR="009338B8" w:rsidRPr="00C2534B">
        <w:rPr>
          <w:rFonts w:ascii="Palatino Linotype" w:hAnsi="Palatino Linotype" w:cs="Arial"/>
          <w:i/>
          <w:sz w:val="24"/>
          <w:szCs w:val="24"/>
        </w:rPr>
        <w:t xml:space="preserve"> de la presente resolución</w:t>
      </w:r>
      <w:r w:rsidR="009338B8" w:rsidRPr="00C2534B">
        <w:rPr>
          <w:rFonts w:ascii="Palatino Linotype" w:hAnsi="Palatino Linotype" w:cs="Arial"/>
          <w:i/>
          <w:sz w:val="24"/>
          <w:szCs w:val="24"/>
          <w:lang w:eastAsia="es-MX"/>
        </w:rPr>
        <w:t>.</w:t>
      </w:r>
      <w:r w:rsidR="009338B8" w:rsidRPr="00C2534B">
        <w:rPr>
          <w:rFonts w:ascii="Palatino Linotype" w:hAnsi="Palatino Linotype" w:cs="Arial"/>
          <w:i/>
          <w:sz w:val="24"/>
          <w:szCs w:val="24"/>
          <w:lang w:eastAsia="es-MX"/>
        </w:rPr>
        <w:t>”(Subrayado nuestro)</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 xml:space="preserve">De tal manera que en los resolutivos, únicamente se determina ordenar la atención a las solicitudes de acceso a la información de la recurrente y </w:t>
      </w:r>
      <w:r w:rsidRPr="00C2534B">
        <w:rPr>
          <w:rFonts w:ascii="Palatino Linotype" w:hAnsi="Palatino Linotype"/>
          <w:i/>
          <w:sz w:val="24"/>
          <w:szCs w:val="24"/>
        </w:rPr>
        <w:t>en su caso</w:t>
      </w:r>
      <w:r w:rsidRPr="00C2534B">
        <w:rPr>
          <w:rFonts w:ascii="Palatino Linotype" w:hAnsi="Palatino Linotype"/>
          <w:sz w:val="24"/>
          <w:szCs w:val="24"/>
        </w:rPr>
        <w:t xml:space="preserve"> entregar la información.</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 xml:space="preserve">En otras palabras, en la resolución motivo del presente voto no se analiza si el Sujeto Obligado genera, posee o administra la información que le fue requerida en razón del ejercicio de las distintas facultades, competencias y funciones que los </w:t>
      </w:r>
      <w:r w:rsidRPr="00C2534B">
        <w:rPr>
          <w:rFonts w:ascii="Palatino Linotype" w:hAnsi="Palatino Linotype"/>
          <w:sz w:val="24"/>
          <w:szCs w:val="24"/>
        </w:rPr>
        <w:lastRenderedPageBreak/>
        <w:t xml:space="preserve">ordenamientos jurídicos le confieren; y por ende mucho menos se analiza la procedencia de la entrega de la información, por considerar que al devenir la </w:t>
      </w:r>
      <w:proofErr w:type="spellStart"/>
      <w:r w:rsidRPr="00C2534B">
        <w:rPr>
          <w:rFonts w:ascii="Palatino Linotype" w:hAnsi="Palatino Linotype"/>
          <w:sz w:val="24"/>
          <w:szCs w:val="24"/>
        </w:rPr>
        <w:t>litis</w:t>
      </w:r>
      <w:proofErr w:type="spellEnd"/>
      <w:r w:rsidRPr="00C2534B">
        <w:rPr>
          <w:rFonts w:ascii="Palatino Linotype" w:hAnsi="Palatino Linotype"/>
          <w:sz w:val="24"/>
          <w:szCs w:val="24"/>
        </w:rPr>
        <w:t xml:space="preserve"> de una falta de respuesta, corresponde al Sujeto Obligado valorar todo ello y entonces atender la solicitud de acceso a la información que le fue formulada.</w:t>
      </w:r>
    </w:p>
    <w:p w:rsidR="00C2534B" w:rsidRPr="00C2534B" w:rsidRDefault="00C2534B" w:rsidP="00C2534B">
      <w:pPr>
        <w:spacing w:before="240" w:after="240" w:line="360" w:lineRule="auto"/>
        <w:jc w:val="both"/>
        <w:rPr>
          <w:rFonts w:ascii="Palatino Linotype" w:hAnsi="Palatino Linotype"/>
          <w:sz w:val="24"/>
        </w:rPr>
      </w:pPr>
      <w:r w:rsidRPr="00C2534B">
        <w:rPr>
          <w:rFonts w:ascii="Palatino Linotype" w:hAnsi="Palatino Linotype"/>
          <w:sz w:val="24"/>
        </w:rPr>
        <w:t>Lo anterior es la razón del presente voto, pues si bien comparto el deber para el Sujeto Obligado de dar atención a las solicitudes de información, lo cual es incuestionable, lo cierto es que considero que la labor para este Órgano Garante no puede limitarse a ordenarle al Sujeto Obligado la realización de lo que no hizo en un principio, ello por las consideraciones que a continuación explico.</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En un primer momento es importante resaltar que la Ley de Transparencia y Acceso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demás disposiciones en la materia, tal y como se desprende de sus artículo 21 y 22, a saber:</w:t>
      </w:r>
    </w:p>
    <w:p w:rsidR="00C2534B" w:rsidRPr="00C2534B" w:rsidRDefault="00C2534B" w:rsidP="00C2534B">
      <w:pPr>
        <w:spacing w:before="240" w:after="240" w:line="240" w:lineRule="auto"/>
        <w:ind w:left="851" w:right="900"/>
        <w:jc w:val="both"/>
        <w:rPr>
          <w:rFonts w:ascii="Palatino Linotype" w:hAnsi="Palatino Linotype"/>
          <w:i/>
        </w:rPr>
      </w:pPr>
      <w:r w:rsidRPr="00C2534B">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C2534B" w:rsidRPr="00C2534B" w:rsidRDefault="00C2534B" w:rsidP="00C2534B">
      <w:pPr>
        <w:spacing w:before="240" w:after="240" w:line="240" w:lineRule="auto"/>
        <w:ind w:left="851" w:right="900"/>
        <w:jc w:val="both"/>
        <w:rPr>
          <w:rFonts w:ascii="Palatino Linotype" w:hAnsi="Palatino Linotype"/>
          <w:i/>
        </w:rPr>
      </w:pPr>
      <w:r w:rsidRPr="00C2534B">
        <w:rPr>
          <w:rFonts w:ascii="Palatino Linotype" w:hAnsi="Palatino Linotype"/>
          <w:i/>
        </w:rPr>
        <w:t xml:space="preserve">“Artículo 22. En el procedimiento de acceso, entrega y publicación de la información se propiciarán las condiciones necesarias para que ésta sea accesible a </w:t>
      </w:r>
      <w:r w:rsidRPr="00C2534B">
        <w:rPr>
          <w:rFonts w:ascii="Palatino Linotype" w:hAnsi="Palatino Linotype"/>
          <w:i/>
        </w:rPr>
        <w:lastRenderedPageBreak/>
        <w:t>cualquier persona, de conformidad con el artículo 5 de la Constitución Local y demás disposiciones de la materia.”</w:t>
      </w:r>
    </w:p>
    <w:p w:rsidR="009338B8" w:rsidRPr="00C2534B" w:rsidRDefault="00C2534B" w:rsidP="009338B8">
      <w:pPr>
        <w:spacing w:before="240" w:after="240" w:line="360" w:lineRule="auto"/>
        <w:jc w:val="both"/>
        <w:rPr>
          <w:rFonts w:ascii="Palatino Linotype" w:hAnsi="Palatino Linotype"/>
          <w:sz w:val="24"/>
          <w:szCs w:val="24"/>
        </w:rPr>
      </w:pPr>
      <w:r w:rsidRPr="00C2534B">
        <w:rPr>
          <w:rFonts w:ascii="Palatino Linotype" w:hAnsi="Palatino Linotype"/>
          <w:sz w:val="24"/>
          <w:szCs w:val="24"/>
        </w:rPr>
        <w:t>Ahora bien, como se refirió en la resolución que se comenta,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w:t>
      </w:r>
      <w:r w:rsidRPr="00C2534B">
        <w:rPr>
          <w:rFonts w:ascii="Palatino Linotype" w:hAnsi="Palatino Linotype"/>
          <w:sz w:val="24"/>
          <w:szCs w:val="24"/>
        </w:rPr>
        <w:t>.</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 xml:space="preserve">En tal tesitura, si nos remitimos al significado de </w:t>
      </w:r>
      <w:r w:rsidRPr="00C2534B">
        <w:rPr>
          <w:rFonts w:ascii="Palatino Linotype" w:hAnsi="Palatino Linotype"/>
          <w:i/>
          <w:sz w:val="24"/>
          <w:szCs w:val="24"/>
        </w:rPr>
        <w:t>garantizar</w:t>
      </w:r>
      <w:r w:rsidRPr="00C2534B">
        <w:rPr>
          <w:rFonts w:ascii="Palatino Linotype" w:hAnsi="Palatino Linotype"/>
          <w:sz w:val="24"/>
          <w:szCs w:val="24"/>
        </w:rPr>
        <w:t xml:space="preserve"> tenemos que ello implica, asegurar, proteger, dar certeza o seguridad sobre algo; de tal manera que si ante una falta de respuesta a una solicitud de acceso a la información pública por parte de los Sujetos Obligados, el Órgano responsable de garantizar dicho derecho se limita a referirle al Sujeto Obligado su deber de atender la solicitud de acceso a la información, explicándole el proceso que debe seguir para ello o las cuestiones que debe prever, no está asegurando ni dando certeza de la atención al derecho del particular.</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 xml:space="preserve">Pues la Ley de Transparencia, ya es lo suficientemente clara señalando el procedimiento de acceso a la información pública, en su Título Séptimo, </w:t>
      </w:r>
      <w:r w:rsidRPr="00C2534B">
        <w:rPr>
          <w:rFonts w:ascii="Palatino Linotype" w:hAnsi="Palatino Linotype"/>
          <w:i/>
          <w:sz w:val="24"/>
          <w:szCs w:val="24"/>
        </w:rPr>
        <w:t xml:space="preserve">Acceso a la Información Pública, </w:t>
      </w:r>
      <w:r w:rsidRPr="00C2534B">
        <w:rPr>
          <w:rFonts w:ascii="Palatino Linotype" w:hAnsi="Palatino Linotype"/>
          <w:sz w:val="24"/>
          <w:szCs w:val="24"/>
        </w:rPr>
        <w:t xml:space="preserve">Capítulo I, </w:t>
      </w:r>
      <w:r w:rsidRPr="00C2534B">
        <w:rPr>
          <w:rFonts w:ascii="Palatino Linotype" w:hAnsi="Palatino Linotype"/>
          <w:i/>
          <w:sz w:val="24"/>
          <w:szCs w:val="24"/>
        </w:rPr>
        <w:t>Del Procedimiento de Acceso a la Información Pública,</w:t>
      </w:r>
      <w:r w:rsidRPr="00C2534B">
        <w:rPr>
          <w:rFonts w:ascii="Palatino Linotype" w:hAnsi="Palatino Linotype"/>
          <w:sz w:val="24"/>
          <w:szCs w:val="24"/>
        </w:rPr>
        <w:t xml:space="preserve"> estableciendo los pasos a seguir desde el momento en que es recibida la solicitud de acceso a la información y las acciones a seguir desde el análisis de la competencia </w:t>
      </w:r>
      <w:r w:rsidRPr="00C2534B">
        <w:rPr>
          <w:rFonts w:ascii="Palatino Linotype" w:hAnsi="Palatino Linotype"/>
          <w:sz w:val="24"/>
          <w:szCs w:val="24"/>
        </w:rPr>
        <w:lastRenderedPageBreak/>
        <w:t>para responder hasta la posibilidad de entrega de la información, dependiendo de su naturaleza.</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 xml:space="preserve">En otras palabras una resolución no puede ser solamente el medio donde se explique de manera extensa lo dictado por la ley, sino debe ser el medio en el que se juzgue el actuar del Sujeto Obligado, pero que sin que se traduzca en una simple opinión, sino en un medio que asegure la atención del derecho. </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 Ley de Transparencia, tanto General como Local y las demás disposiciones aplicables, dado que una resolución no es una explicación sino una decisión del órgano juzgador con facultad para ello.</w:t>
      </w:r>
    </w:p>
    <w:p w:rsidR="00C2534B" w:rsidRPr="00C2534B" w:rsidRDefault="00C2534B" w:rsidP="00C2534B">
      <w:pPr>
        <w:spacing w:before="240" w:after="240" w:line="360" w:lineRule="auto"/>
        <w:jc w:val="both"/>
        <w:rPr>
          <w:rFonts w:ascii="Palatino Linotype" w:hAnsi="Palatino Linotype"/>
        </w:rPr>
      </w:pPr>
      <w:r w:rsidRPr="00C2534B">
        <w:rPr>
          <w:rFonts w:ascii="Palatino Linotype" w:hAnsi="Palatino Linotype"/>
        </w:rPr>
        <w:t xml:space="preserve">Además de que analizar, la naturaleza de la información y la procedencia de su entrega, coadyuvaría a cumplir con observar los principios de sencillez y expedites que la Ley obliga a tomar en consideración en el proceso de acceso a la información, pues de lo contrario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vería la atención a su </w:t>
      </w:r>
      <w:proofErr w:type="gramStart"/>
      <w:r w:rsidRPr="00C2534B">
        <w:rPr>
          <w:rFonts w:ascii="Palatino Linotype" w:hAnsi="Palatino Linotype"/>
        </w:rPr>
        <w:lastRenderedPageBreak/>
        <w:t>derecho</w:t>
      </w:r>
      <w:proofErr w:type="gramEnd"/>
      <w:r w:rsidRPr="00C2534B">
        <w:rPr>
          <w:rFonts w:ascii="Palatino Linotype" w:hAnsi="Palatino Linotype"/>
        </w:rPr>
        <w:t>, cuando ello puede mejorarse, explicando la incompetencia del Sujeto Obligado, u ordenando la entrega de la información o del acuerdo que fundamente la restricción.</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C2534B" w:rsidRPr="00C2534B" w:rsidRDefault="00C2534B" w:rsidP="00C2534B">
      <w:pPr>
        <w:spacing w:before="240" w:after="240" w:line="360" w:lineRule="auto"/>
        <w:jc w:val="both"/>
        <w:rPr>
          <w:rFonts w:ascii="Palatino Linotype" w:hAnsi="Palatino Linotype"/>
          <w:sz w:val="24"/>
          <w:szCs w:val="24"/>
        </w:rPr>
      </w:pPr>
      <w:r w:rsidRPr="00C2534B">
        <w:rPr>
          <w:rFonts w:ascii="Palatino Linotype" w:hAnsi="Palatino Linotype"/>
          <w:sz w:val="24"/>
          <w:szCs w:val="24"/>
        </w:rPr>
        <w:t xml:space="preserve">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la información ya está expresamente ordenado por la Ley; incluso lo mismo ocurre, cuando se localiza precepto normativo aplicable al Sujeto Obligado que haga indubitable que posee en su archivos la información que le es requerida, aun cuando no se trate de información </w:t>
      </w:r>
      <w:r w:rsidRPr="00C2534B">
        <w:rPr>
          <w:rFonts w:ascii="Palatino Linotype" w:hAnsi="Palatino Linotype"/>
          <w:sz w:val="24"/>
          <w:szCs w:val="24"/>
        </w:rPr>
        <w:lastRenderedPageBreak/>
        <w:t>pública de oficio; tarea que si bien no se logra en la garantía primaria del derecho de acceso a la información (el procedimiento de su acceso), por defecto en el actuar del Sujeto Obligado de que se trate, ello debe asegurarse en la garantía secundaria (el recurso de revisión) correspondiéndole al Órgano Garante.</w:t>
      </w:r>
    </w:p>
    <w:p w:rsidR="00C2534B" w:rsidRPr="00C2534B" w:rsidRDefault="00C2534B" w:rsidP="00C2534B">
      <w:pPr>
        <w:spacing w:before="240" w:after="240" w:line="360" w:lineRule="auto"/>
        <w:jc w:val="both"/>
        <w:rPr>
          <w:rFonts w:ascii="Palatino Linotype" w:hAnsi="Palatino Linotype"/>
          <w:b/>
          <w:sz w:val="24"/>
          <w:szCs w:val="24"/>
        </w:rPr>
      </w:pPr>
      <w:r w:rsidRPr="00C2534B">
        <w:rPr>
          <w:rFonts w:ascii="Palatino Linotype" w:hAnsi="Palatino Linotype"/>
          <w:b/>
          <w:sz w:val="24"/>
          <w:szCs w:val="24"/>
        </w:rPr>
        <w:t>De ahí, que no se comparta que la resolución se limite en los resolutivos a ordenar la atención a las solicitudes de información y en su caso la entrega de la información.</w:t>
      </w:r>
    </w:p>
    <w:p w:rsidR="00C2534B" w:rsidRPr="00C2534B" w:rsidRDefault="00C2534B" w:rsidP="00C2534B">
      <w:pPr>
        <w:spacing w:before="240" w:after="0" w:line="360" w:lineRule="auto"/>
        <w:jc w:val="both"/>
        <w:rPr>
          <w:rFonts w:ascii="Palatino Linotype" w:hAnsi="Palatino Linotype" w:cs="Arial"/>
          <w:sz w:val="24"/>
          <w:szCs w:val="24"/>
        </w:rPr>
      </w:pPr>
      <w:r w:rsidRPr="00C2534B">
        <w:rPr>
          <w:rFonts w:ascii="Palatino Linotype" w:hAnsi="Palatino Linotype" w:cs="Arial"/>
          <w:sz w:val="24"/>
          <w:szCs w:val="24"/>
        </w:rPr>
        <w:t xml:space="preserve">Por todo lo expuesto es que formulo el presente voto particular, en los términos precisados, considerando que las consideraciones aquí expuestas hubieran resultado importantes para ordenar la entrega de la información motivo del recurso de revisión que fue resuelto por el Pleno de este Instituto, mencionado. </w:t>
      </w:r>
    </w:p>
    <w:p w:rsidR="009338B8" w:rsidRDefault="009338B8" w:rsidP="009338B8">
      <w:pPr>
        <w:spacing w:before="120" w:after="120" w:line="360" w:lineRule="auto"/>
        <w:rPr>
          <w:rFonts w:ascii="Palatino Linotype" w:hAnsi="Palatino Linotype"/>
          <w:lang w:val="es-ES_tradnl"/>
        </w:rPr>
      </w:pPr>
    </w:p>
    <w:p w:rsidR="009338B8" w:rsidRPr="009338B8" w:rsidRDefault="009338B8" w:rsidP="009338B8">
      <w:pPr>
        <w:spacing w:before="120" w:after="120" w:line="360" w:lineRule="auto"/>
        <w:rPr>
          <w:rFonts w:ascii="Palatino Linotype" w:hAnsi="Palatino Linotype"/>
          <w:lang w:val="es-ES_tradnl"/>
        </w:rPr>
      </w:pPr>
    </w:p>
    <w:p w:rsidR="00C11623" w:rsidRDefault="00C11623" w:rsidP="000607BA">
      <w:pPr>
        <w:spacing w:after="0" w:line="360" w:lineRule="auto"/>
        <w:jc w:val="both"/>
        <w:rPr>
          <w:rFonts w:ascii="Palatino Linotype" w:hAnsi="Palatino Linotype"/>
          <w:sz w:val="24"/>
          <w:szCs w:val="24"/>
        </w:rPr>
      </w:pPr>
    </w:p>
    <w:p w:rsidR="00F13DA6" w:rsidRDefault="00F13DA6" w:rsidP="000607BA">
      <w:pPr>
        <w:spacing w:after="0" w:line="360" w:lineRule="auto"/>
        <w:jc w:val="both"/>
        <w:rPr>
          <w:rFonts w:ascii="Palatino Linotype" w:hAnsi="Palatino Linotype"/>
          <w:sz w:val="24"/>
          <w:szCs w:val="24"/>
        </w:rPr>
      </w:pPr>
    </w:p>
    <w:p w:rsidR="00B71BFC" w:rsidRPr="00B71BFC" w:rsidRDefault="00B71BFC" w:rsidP="00B71BFC">
      <w:pPr>
        <w:spacing w:after="0" w:line="360" w:lineRule="auto"/>
        <w:jc w:val="both"/>
        <w:rPr>
          <w:rFonts w:ascii="Palatino Linotype" w:hAnsi="Palatino Linotype"/>
          <w:sz w:val="24"/>
          <w:szCs w:val="24"/>
        </w:rPr>
      </w:pPr>
    </w:p>
    <w:p w:rsidR="00B71BFC" w:rsidRPr="00B71BFC" w:rsidRDefault="00B71BFC" w:rsidP="00F13DA6">
      <w:pPr>
        <w:spacing w:after="0" w:line="276" w:lineRule="auto"/>
        <w:jc w:val="center"/>
        <w:rPr>
          <w:rFonts w:ascii="Palatino Linotype" w:hAnsi="Palatino Linotype"/>
          <w:b/>
          <w:sz w:val="28"/>
          <w:szCs w:val="28"/>
        </w:rPr>
      </w:pPr>
      <w:r w:rsidRPr="00B71BFC">
        <w:rPr>
          <w:rFonts w:ascii="Palatino Linotype" w:hAnsi="Palatino Linotype"/>
          <w:b/>
          <w:sz w:val="28"/>
          <w:szCs w:val="28"/>
        </w:rPr>
        <w:t xml:space="preserve">Javier Martínez Cruz               </w:t>
      </w:r>
    </w:p>
    <w:p w:rsidR="00BD3823" w:rsidRDefault="00B71BFC" w:rsidP="00F13DA6">
      <w:pPr>
        <w:spacing w:after="0" w:line="276" w:lineRule="auto"/>
        <w:jc w:val="center"/>
        <w:rPr>
          <w:rFonts w:ascii="Palatino Linotype" w:hAnsi="Palatino Linotype"/>
          <w:b/>
          <w:sz w:val="24"/>
          <w:szCs w:val="24"/>
        </w:rPr>
      </w:pPr>
      <w:r w:rsidRPr="00B71BFC">
        <w:rPr>
          <w:rFonts w:ascii="Palatino Linotype" w:hAnsi="Palatino Linotype"/>
          <w:b/>
          <w:sz w:val="24"/>
          <w:szCs w:val="24"/>
        </w:rPr>
        <w:t xml:space="preserve">Comisionado     </w:t>
      </w:r>
    </w:p>
    <w:p w:rsidR="00B71BFC" w:rsidRPr="00D54152" w:rsidRDefault="00BD3823" w:rsidP="00F13DA6">
      <w:pPr>
        <w:spacing w:after="0" w:line="276" w:lineRule="auto"/>
        <w:jc w:val="center"/>
        <w:rPr>
          <w:rFonts w:ascii="Palatino Linotype" w:hAnsi="Palatino Linotype"/>
          <w:b/>
          <w:color w:val="FFFFFF" w:themeColor="background1"/>
          <w:sz w:val="24"/>
          <w:szCs w:val="24"/>
        </w:rPr>
      </w:pPr>
      <w:r w:rsidRPr="00C2534B">
        <w:rPr>
          <w:rFonts w:ascii="Palatino Linotype" w:hAnsi="Palatino Linotype"/>
          <w:b/>
          <w:sz w:val="24"/>
          <w:szCs w:val="24"/>
        </w:rPr>
        <w:t>(Rúbrica)</w:t>
      </w:r>
      <w:r w:rsidR="00B71BFC" w:rsidRPr="00C2534B">
        <w:rPr>
          <w:rFonts w:ascii="Palatino Linotype" w:hAnsi="Palatino Linotype"/>
          <w:b/>
          <w:sz w:val="24"/>
          <w:szCs w:val="24"/>
        </w:rPr>
        <w:t xml:space="preserve">                              </w:t>
      </w:r>
      <w:bookmarkStart w:id="0" w:name="_GoBack"/>
      <w:bookmarkEnd w:id="0"/>
      <w:r w:rsidR="00B71BFC" w:rsidRPr="00C2534B">
        <w:rPr>
          <w:rFonts w:ascii="Palatino Linotype" w:hAnsi="Palatino Linotype"/>
          <w:b/>
          <w:sz w:val="24"/>
          <w:szCs w:val="24"/>
        </w:rPr>
        <w:t xml:space="preserve">           </w:t>
      </w:r>
    </w:p>
    <w:sectPr w:rsidR="00B71BFC" w:rsidRPr="00D54152" w:rsidSect="007F030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2534B">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2534B">
      <w:rPr>
        <w:rFonts w:ascii="Arial" w:hAnsi="Arial" w:cs="Arial"/>
        <w:b/>
        <w:bCs/>
        <w:noProof/>
        <w:sz w:val="20"/>
        <w:szCs w:val="20"/>
      </w:rPr>
      <w:t>8</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572030" w:rsidRPr="00572030">
      <w:rPr>
        <w:rFonts w:ascii="Palatino Linotype" w:hAnsi="Palatino Linotype"/>
        <w:b/>
        <w:sz w:val="22"/>
        <w:szCs w:val="22"/>
        <w:lang w:val="es-ES_tradnl"/>
      </w:rPr>
      <w:t>04070/INFOEM/IP/RR/2018</w:t>
    </w:r>
  </w:p>
  <w:p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11440C"/>
    <w:rsid w:val="00155046"/>
    <w:rsid w:val="001822F4"/>
    <w:rsid w:val="001A7C78"/>
    <w:rsid w:val="002073F9"/>
    <w:rsid w:val="00215353"/>
    <w:rsid w:val="00232C29"/>
    <w:rsid w:val="002618A9"/>
    <w:rsid w:val="00292D40"/>
    <w:rsid w:val="002A5ADD"/>
    <w:rsid w:val="002A6359"/>
    <w:rsid w:val="00320BAF"/>
    <w:rsid w:val="00347C52"/>
    <w:rsid w:val="00356493"/>
    <w:rsid w:val="0036408D"/>
    <w:rsid w:val="0036634A"/>
    <w:rsid w:val="003B33CF"/>
    <w:rsid w:val="00456467"/>
    <w:rsid w:val="00503956"/>
    <w:rsid w:val="00505F5A"/>
    <w:rsid w:val="005549ED"/>
    <w:rsid w:val="00572030"/>
    <w:rsid w:val="00574532"/>
    <w:rsid w:val="005777C1"/>
    <w:rsid w:val="005C2E7F"/>
    <w:rsid w:val="005D066B"/>
    <w:rsid w:val="005F4C0C"/>
    <w:rsid w:val="006214D7"/>
    <w:rsid w:val="00675C15"/>
    <w:rsid w:val="006A6AF4"/>
    <w:rsid w:val="006C34A1"/>
    <w:rsid w:val="006E048C"/>
    <w:rsid w:val="006F1710"/>
    <w:rsid w:val="006F346D"/>
    <w:rsid w:val="007B6EE5"/>
    <w:rsid w:val="007C6C71"/>
    <w:rsid w:val="007F0307"/>
    <w:rsid w:val="00807896"/>
    <w:rsid w:val="00807B02"/>
    <w:rsid w:val="00817AA2"/>
    <w:rsid w:val="00871E3F"/>
    <w:rsid w:val="00883ABB"/>
    <w:rsid w:val="00892DF4"/>
    <w:rsid w:val="00895041"/>
    <w:rsid w:val="00897E24"/>
    <w:rsid w:val="008A4206"/>
    <w:rsid w:val="008E2933"/>
    <w:rsid w:val="00902BEC"/>
    <w:rsid w:val="00907451"/>
    <w:rsid w:val="00921613"/>
    <w:rsid w:val="009338B8"/>
    <w:rsid w:val="00935ABC"/>
    <w:rsid w:val="00956FEF"/>
    <w:rsid w:val="009611D3"/>
    <w:rsid w:val="0098633B"/>
    <w:rsid w:val="009C6D4B"/>
    <w:rsid w:val="009D4A3C"/>
    <w:rsid w:val="009F4EB8"/>
    <w:rsid w:val="00A01E1E"/>
    <w:rsid w:val="00A1161D"/>
    <w:rsid w:val="00A21005"/>
    <w:rsid w:val="00AA53B5"/>
    <w:rsid w:val="00AD0389"/>
    <w:rsid w:val="00AE0F71"/>
    <w:rsid w:val="00B02DEB"/>
    <w:rsid w:val="00B42E5B"/>
    <w:rsid w:val="00B547F4"/>
    <w:rsid w:val="00B64C32"/>
    <w:rsid w:val="00B71BFC"/>
    <w:rsid w:val="00B95ED4"/>
    <w:rsid w:val="00B976C5"/>
    <w:rsid w:val="00BD3823"/>
    <w:rsid w:val="00BE1582"/>
    <w:rsid w:val="00BE6B5D"/>
    <w:rsid w:val="00C11623"/>
    <w:rsid w:val="00C2534B"/>
    <w:rsid w:val="00C44E15"/>
    <w:rsid w:val="00CB1CEB"/>
    <w:rsid w:val="00CC5CDC"/>
    <w:rsid w:val="00CE45F1"/>
    <w:rsid w:val="00CF29D2"/>
    <w:rsid w:val="00D32E4F"/>
    <w:rsid w:val="00D54152"/>
    <w:rsid w:val="00DB70E3"/>
    <w:rsid w:val="00DC752B"/>
    <w:rsid w:val="00E20299"/>
    <w:rsid w:val="00E30FFD"/>
    <w:rsid w:val="00E35D2D"/>
    <w:rsid w:val="00E476F0"/>
    <w:rsid w:val="00E920D4"/>
    <w:rsid w:val="00F13DA6"/>
    <w:rsid w:val="00F466F2"/>
    <w:rsid w:val="00F76B05"/>
    <w:rsid w:val="00F97255"/>
    <w:rsid w:val="00FD3336"/>
    <w:rsid w:val="00FE6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basedOn w:val="Normal"/>
    <w:link w:val="TextonotapieCar"/>
    <w:uiPriority w:val="99"/>
    <w:semiHidden/>
    <w:unhideWhenUsed/>
    <w:rsid w:val="009216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1613"/>
    <w:rPr>
      <w:sz w:val="20"/>
      <w:szCs w:val="20"/>
    </w:rPr>
  </w:style>
  <w:style w:type="character" w:styleId="Refdenotaalpie">
    <w:name w:val="footnote reference"/>
    <w:basedOn w:val="Fuentedeprrafopredeter"/>
    <w:uiPriority w:val="99"/>
    <w:semiHidden/>
    <w:unhideWhenUsed/>
    <w:rsid w:val="00921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6B3A64D-2CE8-49C8-B4BF-DC70B21C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1788</Words>
  <Characters>9839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2019-01-14T17:44:00Z</cp:lastPrinted>
  <dcterms:created xsi:type="dcterms:W3CDTF">2019-01-14T17:15:00Z</dcterms:created>
  <dcterms:modified xsi:type="dcterms:W3CDTF">2019-01-14T17:48:00Z</dcterms:modified>
</cp:coreProperties>
</file>